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741" w:rsidRDefault="00D97F34" w:rsidP="00D97F3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 № 4.</w:t>
      </w:r>
    </w:p>
    <w:p w:rsidR="00D97F34" w:rsidRDefault="00D97F34" w:rsidP="00D97F3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Экономическая безопасность регионов</w:t>
      </w:r>
    </w:p>
    <w:p w:rsidR="00D97F34" w:rsidRPr="00D97F34" w:rsidRDefault="00D97F34" w:rsidP="00D97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34">
        <w:rPr>
          <w:rFonts w:ascii="Times New Roman" w:hAnsi="Times New Roman" w:cs="Times New Roman"/>
          <w:sz w:val="24"/>
          <w:szCs w:val="24"/>
        </w:rPr>
        <w:t>Москва - столица России, крупнейший административно-политический, индустриальный, транспортный, научный и культурный центр.</w:t>
      </w:r>
    </w:p>
    <w:p w:rsidR="00D97F34" w:rsidRPr="00D97F34" w:rsidRDefault="00D97F34" w:rsidP="00D97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34">
        <w:rPr>
          <w:rFonts w:ascii="Times New Roman" w:hAnsi="Times New Roman" w:cs="Times New Roman"/>
          <w:sz w:val="24"/>
          <w:szCs w:val="24"/>
        </w:rPr>
        <w:t>Хозяйство области - сложный многоотраслевой комплекс с резким преобладанием промышленности, со специализацией на сложной и не материалоемкой продукции, требующей квалифицированного труда и научных разработок.</w:t>
      </w:r>
    </w:p>
    <w:p w:rsidR="00D97F34" w:rsidRPr="00D97F34" w:rsidRDefault="00D97F34" w:rsidP="00D97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34">
        <w:rPr>
          <w:rFonts w:ascii="Times New Roman" w:hAnsi="Times New Roman" w:cs="Times New Roman"/>
          <w:sz w:val="24"/>
          <w:szCs w:val="24"/>
        </w:rPr>
        <w:t xml:space="preserve">Основные отрасли специализации - многоотраслевое машиностроение, химическая, легкая, полиграфическая промышленность. Машиностроительный комплекс представлен приборостроением, станкостроением, энергетическим и транспортным машиностроением. Выпускается также электронно-вычислительная техника. Важнейшие машиностроительные центры - Москва - выпускаются грузовые и легковые автомобили, автобусы, речные суда, приборы, средства связи и электроника и др. Химическая промышленность, также, </w:t>
      </w:r>
      <w:proofErr w:type="gramStart"/>
      <w:r w:rsidRPr="00D97F34">
        <w:rPr>
          <w:rFonts w:ascii="Times New Roman" w:hAnsi="Times New Roman" w:cs="Times New Roman"/>
          <w:sz w:val="24"/>
          <w:szCs w:val="24"/>
        </w:rPr>
        <w:t>высоко развита</w:t>
      </w:r>
      <w:proofErr w:type="gramEnd"/>
      <w:r w:rsidRPr="00D97F34">
        <w:rPr>
          <w:rFonts w:ascii="Times New Roman" w:hAnsi="Times New Roman" w:cs="Times New Roman"/>
          <w:sz w:val="24"/>
          <w:szCs w:val="24"/>
        </w:rPr>
        <w:t xml:space="preserve">. Она представлена производством фосфатных удобрений, азотных удобрений, соды, серной кислоты, синтетического каучука, химического волокна. Текстильная промышленность - старейшая в районе отрасль, в прошлом отрасль специализации, в последние годы испытывает глубокий кризис. Предприятия хлопчатобумажной промышленности расположены в городах Иванове, Орехово-Зуево, Тверь, Ярославль, Москва, Кострома. Кроме </w:t>
      </w:r>
      <w:proofErr w:type="gramStart"/>
      <w:r w:rsidRPr="00D97F34">
        <w:rPr>
          <w:rFonts w:ascii="Times New Roman" w:hAnsi="Times New Roman" w:cs="Times New Roman"/>
          <w:sz w:val="24"/>
          <w:szCs w:val="24"/>
        </w:rPr>
        <w:t>хлопчатобумажных</w:t>
      </w:r>
      <w:proofErr w:type="gramEnd"/>
      <w:r w:rsidRPr="00D97F34">
        <w:rPr>
          <w:rFonts w:ascii="Times New Roman" w:hAnsi="Times New Roman" w:cs="Times New Roman"/>
          <w:sz w:val="24"/>
          <w:szCs w:val="24"/>
        </w:rPr>
        <w:t xml:space="preserve"> в районе производятся также шерстяные, льняные и шелковые ткани. Агропромышленный комплекс - один из крупнейших в России по производству молока, мяса, картофеля, овощей, льна, сахарной свеклы, продукции пищевой промышленности. Вокруг Москвы и областных центров развито пригородное сельское хозяйство с крупными плодоовощными хозяйствами, свинофермами и птицефабриками, с мощной пищевой промышленностью.</w:t>
      </w:r>
    </w:p>
    <w:p w:rsidR="00D97F34" w:rsidRPr="00D97F34" w:rsidRDefault="00D97F34" w:rsidP="00D97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34">
        <w:rPr>
          <w:rFonts w:ascii="Times New Roman" w:hAnsi="Times New Roman" w:cs="Times New Roman"/>
          <w:sz w:val="24"/>
          <w:szCs w:val="24"/>
        </w:rPr>
        <w:t xml:space="preserve">Город расположен в междуречье Оки и Волги, на реке Москве. Это крупный транспортный узел, где сходятся 11 железнодорожных линий, 15 автомобильных дорог. В Москве находятся 3 </w:t>
      </w:r>
      <w:proofErr w:type="gramStart"/>
      <w:r w:rsidRPr="00D97F34">
        <w:rPr>
          <w:rFonts w:ascii="Times New Roman" w:hAnsi="Times New Roman" w:cs="Times New Roman"/>
          <w:sz w:val="24"/>
          <w:szCs w:val="24"/>
        </w:rPr>
        <w:t>крупных</w:t>
      </w:r>
      <w:proofErr w:type="gramEnd"/>
      <w:r w:rsidRPr="00D97F34">
        <w:rPr>
          <w:rFonts w:ascii="Times New Roman" w:hAnsi="Times New Roman" w:cs="Times New Roman"/>
          <w:sz w:val="24"/>
          <w:szCs w:val="24"/>
        </w:rPr>
        <w:t xml:space="preserve"> речных порта (Западный, Северный и Южный) и 4 аэропорта, в том числе и международный.</w:t>
      </w:r>
    </w:p>
    <w:p w:rsidR="00D97F34" w:rsidRPr="00D97F34" w:rsidRDefault="00D97F34" w:rsidP="00D97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34">
        <w:rPr>
          <w:rFonts w:ascii="Times New Roman" w:hAnsi="Times New Roman" w:cs="Times New Roman"/>
          <w:sz w:val="24"/>
          <w:szCs w:val="24"/>
        </w:rPr>
        <w:t>Удельный вес подрайона в общем объеме продукции промышленности России в 2009 году - 7,3%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7F34" w:rsidRPr="00D97F34" w:rsidRDefault="00D97F34" w:rsidP="00D97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34">
        <w:rPr>
          <w:rFonts w:ascii="Times New Roman" w:hAnsi="Times New Roman" w:cs="Times New Roman"/>
          <w:sz w:val="24"/>
          <w:szCs w:val="24"/>
        </w:rPr>
        <w:t>Московская область по уровню промышленного потенциала уступает лишь Москве и Санкт-Петербургу (с областью).</w:t>
      </w:r>
    </w:p>
    <w:p w:rsidR="00D97F34" w:rsidRPr="00D97F34" w:rsidRDefault="00D97F34" w:rsidP="00D97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7F34">
        <w:rPr>
          <w:rFonts w:ascii="Times New Roman" w:hAnsi="Times New Roman" w:cs="Times New Roman"/>
          <w:sz w:val="24"/>
          <w:szCs w:val="24"/>
        </w:rPr>
        <w:t>Машиностроение представлено производством разнообразного оборудования (металлорежущих станков, текстильных машин), тепловозов, сельскохозяйственных машин, автобусов, электротехнических изделий, приборов, фотоаппаратов, швейных машин и т.д.</w:t>
      </w:r>
      <w:proofErr w:type="gramEnd"/>
      <w:r w:rsidRPr="00D97F34">
        <w:rPr>
          <w:rFonts w:ascii="Times New Roman" w:hAnsi="Times New Roman" w:cs="Times New Roman"/>
          <w:sz w:val="24"/>
          <w:szCs w:val="24"/>
        </w:rPr>
        <w:t xml:space="preserve"> В числе основных предприятий области - коломенские заводы (тепловозостроительный и </w:t>
      </w:r>
      <w:r w:rsidRPr="00D97F34">
        <w:rPr>
          <w:rFonts w:ascii="Times New Roman" w:hAnsi="Times New Roman" w:cs="Times New Roman"/>
          <w:sz w:val="24"/>
          <w:szCs w:val="24"/>
        </w:rPr>
        <w:lastRenderedPageBreak/>
        <w:t>тяжелого станкостроения), ПО «</w:t>
      </w:r>
      <w:proofErr w:type="spellStart"/>
      <w:r w:rsidRPr="00D97F34">
        <w:rPr>
          <w:rFonts w:ascii="Times New Roman" w:hAnsi="Times New Roman" w:cs="Times New Roman"/>
          <w:sz w:val="24"/>
          <w:szCs w:val="24"/>
        </w:rPr>
        <w:t>Электростальтяжмаш</w:t>
      </w:r>
      <w:proofErr w:type="spellEnd"/>
      <w:r w:rsidRPr="00D97F34">
        <w:rPr>
          <w:rFonts w:ascii="Times New Roman" w:hAnsi="Times New Roman" w:cs="Times New Roman"/>
          <w:sz w:val="24"/>
          <w:szCs w:val="24"/>
        </w:rPr>
        <w:t>», «Метровагонмаш», Подольский аккумуляторный завод, Люберецкий сельхозмашин им. Ухтомского, Ликино-</w:t>
      </w:r>
      <w:proofErr w:type="spellStart"/>
      <w:r w:rsidRPr="00D97F34">
        <w:rPr>
          <w:rFonts w:ascii="Times New Roman" w:hAnsi="Times New Roman" w:cs="Times New Roman"/>
          <w:sz w:val="24"/>
          <w:szCs w:val="24"/>
        </w:rPr>
        <w:t>Дулевский</w:t>
      </w:r>
      <w:proofErr w:type="spellEnd"/>
      <w:r w:rsidRPr="00D97F34">
        <w:rPr>
          <w:rFonts w:ascii="Times New Roman" w:hAnsi="Times New Roman" w:cs="Times New Roman"/>
          <w:sz w:val="24"/>
          <w:szCs w:val="24"/>
        </w:rPr>
        <w:t xml:space="preserve"> автобусный, а также предприятия в Дмитрове, Загорске, Климовске и др.</w:t>
      </w:r>
    </w:p>
    <w:p w:rsidR="00D97F34" w:rsidRPr="00D97F34" w:rsidRDefault="00D97F34" w:rsidP="00D97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34">
        <w:rPr>
          <w:rFonts w:ascii="Times New Roman" w:hAnsi="Times New Roman" w:cs="Times New Roman"/>
          <w:sz w:val="24"/>
          <w:szCs w:val="24"/>
        </w:rPr>
        <w:t xml:space="preserve">В химическом комплексе производятся минеральные удобрения, серная кислота, синтетические смолы, химические волокна и нити, краски. Ведущие предприятия: </w:t>
      </w:r>
      <w:proofErr w:type="spellStart"/>
      <w:r w:rsidRPr="00D97F34">
        <w:rPr>
          <w:rFonts w:ascii="Times New Roman" w:hAnsi="Times New Roman" w:cs="Times New Roman"/>
          <w:sz w:val="24"/>
          <w:szCs w:val="24"/>
        </w:rPr>
        <w:t>воскресенское</w:t>
      </w:r>
      <w:proofErr w:type="spellEnd"/>
      <w:r w:rsidRPr="00D97F34">
        <w:rPr>
          <w:rFonts w:ascii="Times New Roman" w:hAnsi="Times New Roman" w:cs="Times New Roman"/>
          <w:sz w:val="24"/>
          <w:szCs w:val="24"/>
        </w:rPr>
        <w:t xml:space="preserve"> ПО «Минудобрения», клинское и </w:t>
      </w:r>
      <w:proofErr w:type="spellStart"/>
      <w:r w:rsidRPr="00D97F34">
        <w:rPr>
          <w:rFonts w:ascii="Times New Roman" w:hAnsi="Times New Roman" w:cs="Times New Roman"/>
          <w:sz w:val="24"/>
          <w:szCs w:val="24"/>
        </w:rPr>
        <w:t>мытищинское</w:t>
      </w:r>
      <w:proofErr w:type="spellEnd"/>
      <w:r w:rsidRPr="00D97F34">
        <w:rPr>
          <w:rFonts w:ascii="Times New Roman" w:hAnsi="Times New Roman" w:cs="Times New Roman"/>
          <w:sz w:val="24"/>
          <w:szCs w:val="24"/>
        </w:rPr>
        <w:t xml:space="preserve"> ПО «Химволокно», Загорский лакокрасоч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97F34">
        <w:rPr>
          <w:rFonts w:ascii="Times New Roman" w:hAnsi="Times New Roman" w:cs="Times New Roman"/>
          <w:sz w:val="24"/>
          <w:szCs w:val="24"/>
        </w:rPr>
        <w:t>ый завод, а также предприятия Щелкова, Орехова - Зуева и др.</w:t>
      </w:r>
    </w:p>
    <w:p w:rsidR="00D97F34" w:rsidRPr="00D97F34" w:rsidRDefault="00D97F34" w:rsidP="00D97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34">
        <w:rPr>
          <w:rFonts w:ascii="Times New Roman" w:hAnsi="Times New Roman" w:cs="Times New Roman"/>
          <w:sz w:val="24"/>
          <w:szCs w:val="24"/>
        </w:rPr>
        <w:t xml:space="preserve">Основные центры текстильной промышленности - старейшей отрасли специализации - </w:t>
      </w:r>
      <w:proofErr w:type="gramStart"/>
      <w:r w:rsidRPr="00D97F34">
        <w:rPr>
          <w:rFonts w:ascii="Times New Roman" w:hAnsi="Times New Roman" w:cs="Times New Roman"/>
          <w:sz w:val="24"/>
          <w:szCs w:val="24"/>
        </w:rPr>
        <w:t xml:space="preserve">Орехово - </w:t>
      </w:r>
      <w:proofErr w:type="spellStart"/>
      <w:r w:rsidRPr="00D97F34">
        <w:rPr>
          <w:rFonts w:ascii="Times New Roman" w:hAnsi="Times New Roman" w:cs="Times New Roman"/>
          <w:sz w:val="24"/>
          <w:szCs w:val="24"/>
        </w:rPr>
        <w:t>Зуево</w:t>
      </w:r>
      <w:proofErr w:type="spellEnd"/>
      <w:proofErr w:type="gramEnd"/>
      <w:r w:rsidRPr="00D97F34">
        <w:rPr>
          <w:rFonts w:ascii="Times New Roman" w:hAnsi="Times New Roman" w:cs="Times New Roman"/>
          <w:sz w:val="24"/>
          <w:szCs w:val="24"/>
        </w:rPr>
        <w:t xml:space="preserve">, Ногинск, Павловский Посад, Егорьевск, Серпухов, </w:t>
      </w:r>
      <w:proofErr w:type="spellStart"/>
      <w:r w:rsidRPr="00D97F34">
        <w:rPr>
          <w:rFonts w:ascii="Times New Roman" w:hAnsi="Times New Roman" w:cs="Times New Roman"/>
          <w:sz w:val="24"/>
          <w:szCs w:val="24"/>
        </w:rPr>
        <w:t>Наро</w:t>
      </w:r>
      <w:proofErr w:type="spellEnd"/>
      <w:r w:rsidRPr="00D97F3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97F34">
        <w:rPr>
          <w:rFonts w:ascii="Times New Roman" w:hAnsi="Times New Roman" w:cs="Times New Roman"/>
          <w:sz w:val="24"/>
          <w:szCs w:val="24"/>
        </w:rPr>
        <w:t>Фоминск</w:t>
      </w:r>
      <w:proofErr w:type="spellEnd"/>
      <w:r w:rsidRPr="00D97F34">
        <w:rPr>
          <w:rFonts w:ascii="Times New Roman" w:hAnsi="Times New Roman" w:cs="Times New Roman"/>
          <w:sz w:val="24"/>
          <w:szCs w:val="24"/>
        </w:rPr>
        <w:t>. Производят хлопчатобумажные, шерстяные, шелковые ткани и трикотаж.</w:t>
      </w:r>
    </w:p>
    <w:p w:rsidR="00D97F34" w:rsidRPr="00D97F34" w:rsidRDefault="00D97F34" w:rsidP="00D97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34">
        <w:rPr>
          <w:rFonts w:ascii="Times New Roman" w:hAnsi="Times New Roman" w:cs="Times New Roman"/>
          <w:sz w:val="24"/>
          <w:szCs w:val="24"/>
        </w:rPr>
        <w:t>Промышленность стройматериалов производит цемент, кирпич, железобетонные конструкции, асбоцементные трубы.</w:t>
      </w:r>
    </w:p>
    <w:p w:rsidR="00D97F34" w:rsidRPr="00D97F34" w:rsidRDefault="00D97F34" w:rsidP="00D97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34">
        <w:rPr>
          <w:rFonts w:ascii="Times New Roman" w:hAnsi="Times New Roman" w:cs="Times New Roman"/>
          <w:sz w:val="24"/>
          <w:szCs w:val="24"/>
        </w:rPr>
        <w:t xml:space="preserve">В пищевой индустрии города особенно развиты мясомолочная, кондитерская, хлебопекарная, </w:t>
      </w:r>
      <w:proofErr w:type="spellStart"/>
      <w:r w:rsidRPr="00D97F34">
        <w:rPr>
          <w:rFonts w:ascii="Times New Roman" w:hAnsi="Times New Roman" w:cs="Times New Roman"/>
          <w:sz w:val="24"/>
          <w:szCs w:val="24"/>
        </w:rPr>
        <w:t>парфюмерно</w:t>
      </w:r>
      <w:proofErr w:type="spellEnd"/>
      <w:r w:rsidRPr="00D97F34">
        <w:rPr>
          <w:rFonts w:ascii="Times New Roman" w:hAnsi="Times New Roman" w:cs="Times New Roman"/>
          <w:sz w:val="24"/>
          <w:szCs w:val="24"/>
        </w:rPr>
        <w:t xml:space="preserve"> - косметическая и другие отрасли. Столица имеет мощную полиграфическую промышленность.</w:t>
      </w:r>
    </w:p>
    <w:p w:rsidR="00D97F34" w:rsidRPr="00D97F34" w:rsidRDefault="00D97F34" w:rsidP="00D97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34">
        <w:rPr>
          <w:rFonts w:ascii="Times New Roman" w:hAnsi="Times New Roman" w:cs="Times New Roman"/>
          <w:sz w:val="24"/>
          <w:szCs w:val="24"/>
        </w:rPr>
        <w:t>Интенсивное сельское хозяйство пригородного направления специализируется на возделывании картофеля и овощей, а в животноводстве - на производстве молока и яиц. На каждого занятого в сельскохозяйственном производстве области приходится в 5 раз больше населения, чем в среднем по республике.</w:t>
      </w:r>
    </w:p>
    <w:p w:rsidR="00D97F34" w:rsidRPr="00D97F34" w:rsidRDefault="00D97F34" w:rsidP="00D97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34">
        <w:rPr>
          <w:rFonts w:ascii="Times New Roman" w:hAnsi="Times New Roman" w:cs="Times New Roman"/>
          <w:sz w:val="24"/>
          <w:szCs w:val="24"/>
        </w:rPr>
        <w:t>Научно-техническая революция сделала типичными для Подмосковья городскими поселения - центры науки: Дубна, Пущино, Протвино, Черноголовка, Менделеево, Троицк и др. Предприятия и организации области поставляют продукцию для экспорта практически во все страны Восточной Европы, а также в Африку, Азию, страны Западной Европы.</w:t>
      </w:r>
    </w:p>
    <w:p w:rsidR="00D97F34" w:rsidRDefault="00D97F34" w:rsidP="00D97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34">
        <w:rPr>
          <w:rFonts w:ascii="Times New Roman" w:hAnsi="Times New Roman" w:cs="Times New Roman"/>
          <w:sz w:val="24"/>
          <w:szCs w:val="24"/>
        </w:rPr>
        <w:t xml:space="preserve">В северной части района отраслями специализации являются льноводство, </w:t>
      </w:r>
      <w:proofErr w:type="spellStart"/>
      <w:r w:rsidRPr="00D97F34">
        <w:rPr>
          <w:rFonts w:ascii="Times New Roman" w:hAnsi="Times New Roman" w:cs="Times New Roman"/>
          <w:sz w:val="24"/>
          <w:szCs w:val="24"/>
        </w:rPr>
        <w:t>молочно</w:t>
      </w:r>
      <w:proofErr w:type="spellEnd"/>
      <w:r w:rsidRPr="00D97F34">
        <w:rPr>
          <w:rFonts w:ascii="Times New Roman" w:hAnsi="Times New Roman" w:cs="Times New Roman"/>
          <w:sz w:val="24"/>
          <w:szCs w:val="24"/>
        </w:rPr>
        <w:t xml:space="preserve"> - мясное животноводство, выращивание зерновых (озимая рожь, яровая пшеница).</w:t>
      </w:r>
    </w:p>
    <w:p w:rsidR="00D97F34" w:rsidRDefault="00D97F34" w:rsidP="00D97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4.1 – Показатели экономической безопасности Московской области</w:t>
      </w:r>
      <w:r w:rsidR="002C5AF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1276"/>
        <w:gridCol w:w="1417"/>
        <w:gridCol w:w="1276"/>
        <w:gridCol w:w="975"/>
        <w:gridCol w:w="975"/>
      </w:tblGrid>
      <w:tr w:rsidR="002C5AFA" w:rsidRPr="002C5AFA" w:rsidTr="002C5AFA">
        <w:trPr>
          <w:trHeight w:val="300"/>
        </w:trPr>
        <w:tc>
          <w:tcPr>
            <w:tcW w:w="2802" w:type="dxa"/>
            <w:vMerge w:val="restart"/>
            <w:vAlign w:val="center"/>
          </w:tcPr>
          <w:p w:rsidR="002C5AFA" w:rsidRPr="002C5AFA" w:rsidRDefault="002C5AFA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C5AFA">
              <w:rPr>
                <w:rFonts w:ascii="Times New Roman" w:hAnsi="Times New Roman" w:cs="Times New Roman"/>
                <w:szCs w:val="20"/>
              </w:rPr>
              <w:t>Показатели</w:t>
            </w:r>
          </w:p>
        </w:tc>
        <w:tc>
          <w:tcPr>
            <w:tcW w:w="1417" w:type="dxa"/>
            <w:vMerge w:val="restart"/>
            <w:vAlign w:val="center"/>
          </w:tcPr>
          <w:p w:rsidR="002C5AFA" w:rsidRPr="002C5AFA" w:rsidRDefault="002C5AFA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Пороговые значения</w:t>
            </w:r>
          </w:p>
        </w:tc>
        <w:tc>
          <w:tcPr>
            <w:tcW w:w="1276" w:type="dxa"/>
            <w:vMerge w:val="restart"/>
            <w:vAlign w:val="center"/>
          </w:tcPr>
          <w:p w:rsidR="002C5AFA" w:rsidRPr="002C5AFA" w:rsidRDefault="002C5AFA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2019 г.</w:t>
            </w:r>
          </w:p>
        </w:tc>
        <w:tc>
          <w:tcPr>
            <w:tcW w:w="1417" w:type="dxa"/>
            <w:vMerge w:val="restart"/>
            <w:vAlign w:val="center"/>
          </w:tcPr>
          <w:p w:rsidR="002C5AFA" w:rsidRPr="002C5AFA" w:rsidRDefault="002C5AFA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2020 г.</w:t>
            </w:r>
          </w:p>
        </w:tc>
        <w:tc>
          <w:tcPr>
            <w:tcW w:w="1276" w:type="dxa"/>
            <w:vMerge w:val="restart"/>
            <w:vAlign w:val="center"/>
          </w:tcPr>
          <w:p w:rsidR="002C5AFA" w:rsidRPr="002C5AFA" w:rsidRDefault="002C5AFA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2021 г.</w:t>
            </w:r>
          </w:p>
        </w:tc>
        <w:tc>
          <w:tcPr>
            <w:tcW w:w="1950" w:type="dxa"/>
            <w:gridSpan w:val="2"/>
            <w:vAlign w:val="center"/>
          </w:tcPr>
          <w:p w:rsidR="002C5AFA" w:rsidRPr="002C5AFA" w:rsidRDefault="002C5AFA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Отклонение</w:t>
            </w:r>
          </w:p>
        </w:tc>
      </w:tr>
      <w:tr w:rsidR="002C5AFA" w:rsidRPr="002C5AFA" w:rsidTr="002C5AFA">
        <w:trPr>
          <w:trHeight w:val="200"/>
        </w:trPr>
        <w:tc>
          <w:tcPr>
            <w:tcW w:w="2802" w:type="dxa"/>
            <w:vMerge/>
            <w:vAlign w:val="center"/>
          </w:tcPr>
          <w:p w:rsidR="002C5AFA" w:rsidRPr="002C5AFA" w:rsidRDefault="002C5AFA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C5AFA" w:rsidRDefault="002C5AFA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5AFA" w:rsidRDefault="002C5AFA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C5AFA" w:rsidRDefault="002C5AFA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5AFA" w:rsidRDefault="002C5AFA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5" w:type="dxa"/>
            <w:vAlign w:val="center"/>
          </w:tcPr>
          <w:p w:rsidR="002C5AFA" w:rsidRPr="002C5AFA" w:rsidRDefault="002C5AFA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Абс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975" w:type="dxa"/>
            <w:vAlign w:val="center"/>
          </w:tcPr>
          <w:p w:rsidR="002C5AFA" w:rsidRPr="002C5AFA" w:rsidRDefault="002C5AFA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  <w:tr w:rsidR="002C5AFA" w:rsidRPr="002C5AFA" w:rsidTr="002C5AFA">
        <w:tc>
          <w:tcPr>
            <w:tcW w:w="2802" w:type="dxa"/>
            <w:vAlign w:val="center"/>
          </w:tcPr>
          <w:p w:rsidR="002C5AFA" w:rsidRPr="002C5AFA" w:rsidRDefault="002C5AFA" w:rsidP="002C5AFA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1. Объем ВРП на душу населения, %</w:t>
            </w:r>
          </w:p>
        </w:tc>
        <w:tc>
          <w:tcPr>
            <w:tcW w:w="1417" w:type="dxa"/>
            <w:vAlign w:val="center"/>
          </w:tcPr>
          <w:p w:rsidR="002C5AFA" w:rsidRPr="002C5AFA" w:rsidRDefault="005E273E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100% от среднего по РФ</w:t>
            </w:r>
          </w:p>
        </w:tc>
        <w:tc>
          <w:tcPr>
            <w:tcW w:w="1276" w:type="dxa"/>
            <w:vAlign w:val="center"/>
          </w:tcPr>
          <w:p w:rsidR="002C5AFA" w:rsidRPr="002C5AFA" w:rsidRDefault="005E273E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103,8</w:t>
            </w:r>
          </w:p>
        </w:tc>
        <w:tc>
          <w:tcPr>
            <w:tcW w:w="1417" w:type="dxa"/>
            <w:vAlign w:val="center"/>
          </w:tcPr>
          <w:p w:rsidR="002C5AFA" w:rsidRPr="002C5AFA" w:rsidRDefault="005E273E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106,8</w:t>
            </w:r>
          </w:p>
        </w:tc>
        <w:tc>
          <w:tcPr>
            <w:tcW w:w="1276" w:type="dxa"/>
            <w:vAlign w:val="center"/>
          </w:tcPr>
          <w:p w:rsidR="002C5AFA" w:rsidRPr="002C5AFA" w:rsidRDefault="005E273E" w:rsidP="005E273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108,7</w:t>
            </w:r>
          </w:p>
        </w:tc>
        <w:tc>
          <w:tcPr>
            <w:tcW w:w="975" w:type="dxa"/>
            <w:vAlign w:val="center"/>
          </w:tcPr>
          <w:p w:rsidR="002C5AFA" w:rsidRPr="002C5AFA" w:rsidRDefault="005E273E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1,9</w:t>
            </w:r>
          </w:p>
        </w:tc>
        <w:tc>
          <w:tcPr>
            <w:tcW w:w="975" w:type="dxa"/>
            <w:vAlign w:val="center"/>
          </w:tcPr>
          <w:p w:rsidR="002C5AFA" w:rsidRPr="002C5AFA" w:rsidRDefault="005E273E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101,8</w:t>
            </w:r>
          </w:p>
        </w:tc>
      </w:tr>
      <w:tr w:rsidR="002C5AFA" w:rsidRPr="002C5AFA" w:rsidTr="002C5AFA">
        <w:tc>
          <w:tcPr>
            <w:tcW w:w="2802" w:type="dxa"/>
            <w:vAlign w:val="center"/>
          </w:tcPr>
          <w:p w:rsidR="002C5AFA" w:rsidRPr="002C5AFA" w:rsidRDefault="002C5AFA" w:rsidP="002C5AFA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2. Объем инвестиций в основной капитал, % к ВРП</w:t>
            </w:r>
          </w:p>
        </w:tc>
        <w:tc>
          <w:tcPr>
            <w:tcW w:w="1417" w:type="dxa"/>
            <w:vAlign w:val="center"/>
          </w:tcPr>
          <w:p w:rsidR="002C5AFA" w:rsidRPr="005E273E" w:rsidRDefault="005E273E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&gt;25%</w:t>
            </w:r>
            <w:r>
              <w:rPr>
                <w:rFonts w:ascii="Times New Roman" w:hAnsi="Times New Roman" w:cs="Times New Roman"/>
                <w:szCs w:val="20"/>
              </w:rPr>
              <w:t xml:space="preserve"> от ВРП</w:t>
            </w:r>
          </w:p>
        </w:tc>
        <w:tc>
          <w:tcPr>
            <w:tcW w:w="1276" w:type="dxa"/>
            <w:vAlign w:val="center"/>
          </w:tcPr>
          <w:p w:rsidR="002C5AFA" w:rsidRPr="002C5AFA" w:rsidRDefault="005E273E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21</w:t>
            </w:r>
          </w:p>
        </w:tc>
        <w:tc>
          <w:tcPr>
            <w:tcW w:w="1417" w:type="dxa"/>
            <w:vAlign w:val="center"/>
          </w:tcPr>
          <w:p w:rsidR="002C5AFA" w:rsidRPr="002C5AFA" w:rsidRDefault="005E273E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20,5</w:t>
            </w:r>
          </w:p>
        </w:tc>
        <w:tc>
          <w:tcPr>
            <w:tcW w:w="1276" w:type="dxa"/>
            <w:vAlign w:val="center"/>
          </w:tcPr>
          <w:p w:rsidR="002C5AFA" w:rsidRPr="002C5AFA" w:rsidRDefault="005E273E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21,5</w:t>
            </w:r>
          </w:p>
        </w:tc>
        <w:tc>
          <w:tcPr>
            <w:tcW w:w="975" w:type="dxa"/>
            <w:vAlign w:val="center"/>
          </w:tcPr>
          <w:p w:rsidR="002C5AFA" w:rsidRPr="002C5AFA" w:rsidRDefault="00FF7E6F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75" w:type="dxa"/>
            <w:vAlign w:val="center"/>
          </w:tcPr>
          <w:p w:rsidR="002C5AFA" w:rsidRPr="002C5AFA" w:rsidRDefault="00FF7E6F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104,9</w:t>
            </w:r>
          </w:p>
        </w:tc>
      </w:tr>
      <w:tr w:rsidR="002C5AFA" w:rsidRPr="002C5AFA" w:rsidTr="002C5AFA">
        <w:tc>
          <w:tcPr>
            <w:tcW w:w="2802" w:type="dxa"/>
            <w:vAlign w:val="center"/>
          </w:tcPr>
          <w:p w:rsidR="002C5AFA" w:rsidRPr="002C5AFA" w:rsidRDefault="002C5AFA" w:rsidP="002C5AFA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 Уровень безработицы, %</w:t>
            </w:r>
          </w:p>
        </w:tc>
        <w:tc>
          <w:tcPr>
            <w:tcW w:w="1417" w:type="dxa"/>
            <w:vAlign w:val="center"/>
          </w:tcPr>
          <w:p w:rsidR="002C5AFA" w:rsidRPr="00FF7E6F" w:rsidRDefault="00FF7E6F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&lt;7%</w:t>
            </w:r>
          </w:p>
        </w:tc>
        <w:tc>
          <w:tcPr>
            <w:tcW w:w="1276" w:type="dxa"/>
            <w:vAlign w:val="center"/>
          </w:tcPr>
          <w:p w:rsidR="002C5AFA" w:rsidRPr="002C5AFA" w:rsidRDefault="00FF7E6F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2,7</w:t>
            </w:r>
          </w:p>
        </w:tc>
        <w:tc>
          <w:tcPr>
            <w:tcW w:w="1417" w:type="dxa"/>
            <w:vAlign w:val="center"/>
          </w:tcPr>
          <w:p w:rsidR="002C5AFA" w:rsidRPr="002C5AFA" w:rsidRDefault="005E273E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3,60</w:t>
            </w:r>
          </w:p>
        </w:tc>
        <w:tc>
          <w:tcPr>
            <w:tcW w:w="1276" w:type="dxa"/>
            <w:vAlign w:val="center"/>
          </w:tcPr>
          <w:p w:rsidR="002C5AFA" w:rsidRPr="002C5AFA" w:rsidRDefault="00FF7E6F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3,4</w:t>
            </w:r>
          </w:p>
        </w:tc>
        <w:tc>
          <w:tcPr>
            <w:tcW w:w="975" w:type="dxa"/>
            <w:vAlign w:val="center"/>
          </w:tcPr>
          <w:p w:rsidR="002C5AFA" w:rsidRPr="002C5AFA" w:rsidRDefault="00FF7E6F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- 0,2</w:t>
            </w:r>
          </w:p>
        </w:tc>
        <w:tc>
          <w:tcPr>
            <w:tcW w:w="975" w:type="dxa"/>
            <w:vAlign w:val="center"/>
          </w:tcPr>
          <w:p w:rsidR="002C5AFA" w:rsidRPr="002C5AFA" w:rsidRDefault="00FF7E6F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94,4</w:t>
            </w:r>
          </w:p>
        </w:tc>
      </w:tr>
      <w:tr w:rsidR="002C5AFA" w:rsidRPr="002C5AFA" w:rsidTr="002C5AFA">
        <w:tc>
          <w:tcPr>
            <w:tcW w:w="2802" w:type="dxa"/>
            <w:vAlign w:val="center"/>
          </w:tcPr>
          <w:p w:rsidR="002C5AFA" w:rsidRPr="002C5AFA" w:rsidRDefault="002C5AFA" w:rsidP="002C5AFA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 Доля населения  с доходами ниже прожиточного минимума, %</w:t>
            </w:r>
          </w:p>
        </w:tc>
        <w:tc>
          <w:tcPr>
            <w:tcW w:w="1417" w:type="dxa"/>
            <w:vAlign w:val="center"/>
          </w:tcPr>
          <w:p w:rsidR="002C5AFA" w:rsidRPr="00FF7E6F" w:rsidRDefault="00FF7E6F" w:rsidP="002C5AFA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&lt;8%</w:t>
            </w:r>
          </w:p>
        </w:tc>
        <w:tc>
          <w:tcPr>
            <w:tcW w:w="1276" w:type="dxa"/>
            <w:vAlign w:val="center"/>
          </w:tcPr>
          <w:p w:rsidR="002C5AFA" w:rsidRPr="002C5AFA" w:rsidRDefault="00FF7E6F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12,3</w:t>
            </w:r>
          </w:p>
        </w:tc>
        <w:tc>
          <w:tcPr>
            <w:tcW w:w="1417" w:type="dxa"/>
            <w:vAlign w:val="center"/>
          </w:tcPr>
          <w:p w:rsidR="002C5AFA" w:rsidRPr="002C5AFA" w:rsidRDefault="00FF7E6F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12,1</w:t>
            </w:r>
          </w:p>
        </w:tc>
        <w:tc>
          <w:tcPr>
            <w:tcW w:w="1276" w:type="dxa"/>
            <w:vAlign w:val="center"/>
          </w:tcPr>
          <w:p w:rsidR="002C5AFA" w:rsidRPr="002C5AFA" w:rsidRDefault="00FF7E6F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11,0</w:t>
            </w:r>
          </w:p>
        </w:tc>
        <w:tc>
          <w:tcPr>
            <w:tcW w:w="975" w:type="dxa"/>
            <w:vAlign w:val="center"/>
          </w:tcPr>
          <w:p w:rsidR="002C5AFA" w:rsidRPr="002C5AFA" w:rsidRDefault="00FF7E6F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1,1</w:t>
            </w:r>
          </w:p>
        </w:tc>
        <w:tc>
          <w:tcPr>
            <w:tcW w:w="975" w:type="dxa"/>
            <w:vAlign w:val="center"/>
          </w:tcPr>
          <w:p w:rsidR="002C5AFA" w:rsidRPr="002C5AFA" w:rsidRDefault="00584643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90,9</w:t>
            </w:r>
          </w:p>
        </w:tc>
      </w:tr>
      <w:tr w:rsidR="002C5AFA" w:rsidRPr="002C5AFA" w:rsidTr="002C5AFA">
        <w:tc>
          <w:tcPr>
            <w:tcW w:w="2802" w:type="dxa"/>
            <w:vAlign w:val="center"/>
          </w:tcPr>
          <w:p w:rsidR="002C5AFA" w:rsidRPr="002C5AFA" w:rsidRDefault="002C5AFA" w:rsidP="002C5AFA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5. Отношение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среднедушевых денежных доходов населения к прожиточному минимуму, раз</w:t>
            </w:r>
          </w:p>
        </w:tc>
        <w:tc>
          <w:tcPr>
            <w:tcW w:w="1417" w:type="dxa"/>
            <w:vAlign w:val="center"/>
          </w:tcPr>
          <w:p w:rsidR="002C5AFA" w:rsidRPr="00FF7E6F" w:rsidRDefault="00FF7E6F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lastRenderedPageBreak/>
              <w:t xml:space="preserve">&gt;2,5 </w:t>
            </w:r>
            <w:r>
              <w:rPr>
                <w:rFonts w:ascii="Times New Roman" w:hAnsi="Times New Roman" w:cs="Times New Roman"/>
                <w:szCs w:val="20"/>
              </w:rPr>
              <w:t>раз</w:t>
            </w:r>
          </w:p>
        </w:tc>
        <w:tc>
          <w:tcPr>
            <w:tcW w:w="1276" w:type="dxa"/>
            <w:vAlign w:val="center"/>
          </w:tcPr>
          <w:p w:rsidR="002C5AFA" w:rsidRPr="002C5AFA" w:rsidRDefault="00584643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2,1</w:t>
            </w:r>
          </w:p>
        </w:tc>
        <w:tc>
          <w:tcPr>
            <w:tcW w:w="1417" w:type="dxa"/>
            <w:vAlign w:val="center"/>
          </w:tcPr>
          <w:p w:rsidR="002C5AFA" w:rsidRPr="002C5AFA" w:rsidRDefault="00584643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2,3</w:t>
            </w:r>
          </w:p>
        </w:tc>
        <w:tc>
          <w:tcPr>
            <w:tcW w:w="1276" w:type="dxa"/>
            <w:vAlign w:val="center"/>
          </w:tcPr>
          <w:p w:rsidR="002C5AFA" w:rsidRPr="002C5AFA" w:rsidRDefault="00584643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2,5</w:t>
            </w:r>
          </w:p>
        </w:tc>
        <w:tc>
          <w:tcPr>
            <w:tcW w:w="975" w:type="dxa"/>
            <w:vAlign w:val="center"/>
          </w:tcPr>
          <w:p w:rsidR="002C5AFA" w:rsidRPr="002C5AFA" w:rsidRDefault="00584643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0,2</w:t>
            </w:r>
          </w:p>
        </w:tc>
        <w:tc>
          <w:tcPr>
            <w:tcW w:w="975" w:type="dxa"/>
            <w:vAlign w:val="center"/>
          </w:tcPr>
          <w:p w:rsidR="002C5AFA" w:rsidRPr="002C5AFA" w:rsidRDefault="00584643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108,7</w:t>
            </w:r>
          </w:p>
        </w:tc>
      </w:tr>
      <w:tr w:rsidR="002C5AFA" w:rsidRPr="002C5AFA" w:rsidTr="002C5AFA">
        <w:tc>
          <w:tcPr>
            <w:tcW w:w="2802" w:type="dxa"/>
            <w:vAlign w:val="center"/>
          </w:tcPr>
          <w:p w:rsidR="002C5AFA" w:rsidRPr="002C5AFA" w:rsidRDefault="002C5AFA" w:rsidP="002C5AFA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 xml:space="preserve">6. Удельный вес лиц 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старше 65 лет в общей численности населения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>, %</w:t>
            </w:r>
          </w:p>
        </w:tc>
        <w:tc>
          <w:tcPr>
            <w:tcW w:w="1417" w:type="dxa"/>
            <w:vAlign w:val="center"/>
          </w:tcPr>
          <w:p w:rsidR="002C5AFA" w:rsidRPr="00FF7E6F" w:rsidRDefault="00FF7E6F" w:rsidP="002C5AFA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&lt;7%</w:t>
            </w:r>
          </w:p>
        </w:tc>
        <w:tc>
          <w:tcPr>
            <w:tcW w:w="1276" w:type="dxa"/>
            <w:vAlign w:val="center"/>
          </w:tcPr>
          <w:p w:rsidR="002C5AFA" w:rsidRPr="002C5AFA" w:rsidRDefault="00DB135A" w:rsidP="00DB135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18</w:t>
            </w:r>
          </w:p>
        </w:tc>
        <w:tc>
          <w:tcPr>
            <w:tcW w:w="1417" w:type="dxa"/>
            <w:vAlign w:val="center"/>
          </w:tcPr>
          <w:p w:rsidR="002C5AFA" w:rsidRPr="002C5AFA" w:rsidRDefault="00DB135A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24</w:t>
            </w:r>
          </w:p>
        </w:tc>
        <w:tc>
          <w:tcPr>
            <w:tcW w:w="1276" w:type="dxa"/>
            <w:vAlign w:val="center"/>
          </w:tcPr>
          <w:p w:rsidR="002C5AFA" w:rsidRPr="002C5AFA" w:rsidRDefault="00DB135A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17</w:t>
            </w:r>
          </w:p>
        </w:tc>
        <w:tc>
          <w:tcPr>
            <w:tcW w:w="975" w:type="dxa"/>
            <w:vAlign w:val="center"/>
          </w:tcPr>
          <w:p w:rsidR="002C5AFA" w:rsidRPr="002C5AFA" w:rsidRDefault="00DB135A" w:rsidP="00DB135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-6</w:t>
            </w:r>
          </w:p>
        </w:tc>
        <w:tc>
          <w:tcPr>
            <w:tcW w:w="975" w:type="dxa"/>
            <w:vAlign w:val="center"/>
          </w:tcPr>
          <w:p w:rsidR="002C5AFA" w:rsidRPr="002C5AFA" w:rsidRDefault="00DB135A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70,8</w:t>
            </w:r>
          </w:p>
        </w:tc>
      </w:tr>
      <w:tr w:rsidR="002C5AFA" w:rsidRPr="002C5AFA" w:rsidTr="00DB135A">
        <w:tc>
          <w:tcPr>
            <w:tcW w:w="2802" w:type="dxa"/>
            <w:vAlign w:val="center"/>
          </w:tcPr>
          <w:p w:rsidR="002C5AFA" w:rsidRDefault="002C5AFA" w:rsidP="002C5AFA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7. Ожидаемая продолжительность жизни населения, лет, в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.</w:t>
            </w:r>
          </w:p>
          <w:p w:rsidR="002C5AFA" w:rsidRDefault="002C5AFA" w:rsidP="002C5AFA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 мужчины</w:t>
            </w:r>
          </w:p>
          <w:p w:rsidR="002C5AFA" w:rsidRPr="002C5AFA" w:rsidRDefault="002C5AFA" w:rsidP="002C5AFA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 женщины</w:t>
            </w:r>
          </w:p>
        </w:tc>
        <w:tc>
          <w:tcPr>
            <w:tcW w:w="1417" w:type="dxa"/>
            <w:vAlign w:val="center"/>
          </w:tcPr>
          <w:p w:rsidR="002C5AFA" w:rsidRPr="00FF7E6F" w:rsidRDefault="00FF7E6F" w:rsidP="002C5AF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&gt;75</w:t>
            </w:r>
            <w:r>
              <w:rPr>
                <w:rFonts w:ascii="Times New Roman" w:hAnsi="Times New Roman" w:cs="Times New Roman"/>
                <w:szCs w:val="20"/>
              </w:rPr>
              <w:t xml:space="preserve"> лет</w:t>
            </w:r>
          </w:p>
        </w:tc>
        <w:tc>
          <w:tcPr>
            <w:tcW w:w="1276" w:type="dxa"/>
          </w:tcPr>
          <w:p w:rsidR="00DB135A" w:rsidRDefault="00DB135A" w:rsidP="00DB135A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DB135A" w:rsidRDefault="00DB135A" w:rsidP="00DB135A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2C5AFA" w:rsidRDefault="00DB135A" w:rsidP="00DB135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73,8</w:t>
            </w:r>
          </w:p>
          <w:p w:rsidR="00DB135A" w:rsidRDefault="00DB135A" w:rsidP="00DB135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69,04</w:t>
            </w:r>
          </w:p>
          <w:p w:rsidR="00DB135A" w:rsidRPr="002C5AFA" w:rsidRDefault="00DB135A" w:rsidP="00DB135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78,2</w:t>
            </w:r>
          </w:p>
        </w:tc>
        <w:tc>
          <w:tcPr>
            <w:tcW w:w="1417" w:type="dxa"/>
          </w:tcPr>
          <w:p w:rsidR="00DB135A" w:rsidRDefault="00DB135A" w:rsidP="00DB135A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DB135A" w:rsidRDefault="00DB135A" w:rsidP="00DB135A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2C5AFA" w:rsidRDefault="00DB135A" w:rsidP="00DB135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71,7</w:t>
            </w:r>
          </w:p>
          <w:p w:rsidR="00DB135A" w:rsidRDefault="00DB135A" w:rsidP="00DB135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66,7</w:t>
            </w:r>
          </w:p>
          <w:p w:rsidR="00DB135A" w:rsidRPr="002C5AFA" w:rsidRDefault="00DB135A" w:rsidP="00DB135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76,4</w:t>
            </w:r>
          </w:p>
        </w:tc>
        <w:tc>
          <w:tcPr>
            <w:tcW w:w="1276" w:type="dxa"/>
          </w:tcPr>
          <w:p w:rsidR="00DB135A" w:rsidRDefault="00DB135A" w:rsidP="00DB135A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DB135A" w:rsidRDefault="00DB135A" w:rsidP="00DB135A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2C5AFA" w:rsidRDefault="00DB135A" w:rsidP="00DB135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70,3</w:t>
            </w:r>
          </w:p>
          <w:p w:rsidR="00DB135A" w:rsidRDefault="00DB135A" w:rsidP="00DB135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65,7</w:t>
            </w:r>
          </w:p>
          <w:p w:rsidR="00DB135A" w:rsidRPr="002C5AFA" w:rsidRDefault="00DB135A" w:rsidP="00DB135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74,8</w:t>
            </w:r>
          </w:p>
        </w:tc>
        <w:tc>
          <w:tcPr>
            <w:tcW w:w="975" w:type="dxa"/>
          </w:tcPr>
          <w:p w:rsidR="00DB135A" w:rsidRDefault="00DB135A" w:rsidP="00DB135A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DB135A" w:rsidRDefault="00DB135A" w:rsidP="00DB135A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DB135A" w:rsidRDefault="00DB135A" w:rsidP="00DB135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-1,4</w:t>
            </w:r>
          </w:p>
          <w:p w:rsidR="002C5AFA" w:rsidRDefault="00DB135A" w:rsidP="00DB135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-1</w:t>
            </w:r>
          </w:p>
          <w:p w:rsidR="00DB135A" w:rsidRPr="002C5AFA" w:rsidRDefault="00DB135A" w:rsidP="00DB135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-1,6</w:t>
            </w:r>
          </w:p>
        </w:tc>
        <w:tc>
          <w:tcPr>
            <w:tcW w:w="975" w:type="dxa"/>
          </w:tcPr>
          <w:p w:rsidR="00DB135A" w:rsidRDefault="00DB135A" w:rsidP="00DB135A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DB135A" w:rsidRDefault="00DB135A" w:rsidP="00DB135A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2C5AFA" w:rsidRDefault="00DB135A" w:rsidP="00DB135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98,04</w:t>
            </w:r>
          </w:p>
          <w:p w:rsidR="00DB135A" w:rsidRDefault="00DB135A" w:rsidP="00DB135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98,5</w:t>
            </w:r>
          </w:p>
          <w:p w:rsidR="00DB135A" w:rsidRPr="002C5AFA" w:rsidRDefault="00DB135A" w:rsidP="00DB135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97,9</w:t>
            </w:r>
          </w:p>
        </w:tc>
      </w:tr>
    </w:tbl>
    <w:p w:rsidR="002C5AFA" w:rsidRDefault="002C5AFA" w:rsidP="002C5AFA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DB135A" w:rsidRPr="002C5AFA" w:rsidRDefault="00DB135A" w:rsidP="002C5AFA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Вывод: исходя из таблицы 4.1 видно, что </w:t>
      </w:r>
      <w:r w:rsidR="000E6F7D">
        <w:rPr>
          <w:rFonts w:ascii="Times New Roman" w:hAnsi="Times New Roman" w:cs="Times New Roman"/>
          <w:szCs w:val="20"/>
        </w:rPr>
        <w:t xml:space="preserve">Московская область развивается, экономические показатели стабильные и почти все соответствуют пороговым значения. Наблюдается динамика роста объема Внутреннего регионального продукта. Так же происходит рост уровня безработицы, </w:t>
      </w:r>
      <w:proofErr w:type="gramStart"/>
      <w:r w:rsidR="000E6F7D">
        <w:rPr>
          <w:rFonts w:ascii="Times New Roman" w:hAnsi="Times New Roman" w:cs="Times New Roman"/>
          <w:szCs w:val="20"/>
        </w:rPr>
        <w:t>но</w:t>
      </w:r>
      <w:proofErr w:type="gramEnd"/>
      <w:r w:rsidR="000E6F7D">
        <w:rPr>
          <w:rFonts w:ascii="Times New Roman" w:hAnsi="Times New Roman" w:cs="Times New Roman"/>
          <w:szCs w:val="20"/>
        </w:rPr>
        <w:t xml:space="preserve"> не смотря на это показатель не превышает пороговые значения. Произошло сокращения населения в возрасте старше 65 лет.</w:t>
      </w:r>
      <w:bookmarkStart w:id="0" w:name="_GoBack"/>
      <w:bookmarkEnd w:id="0"/>
    </w:p>
    <w:sectPr w:rsidR="00DB135A" w:rsidRPr="002C5AFA" w:rsidSect="00D97F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A3"/>
    <w:rsid w:val="000E6F7D"/>
    <w:rsid w:val="002C5AFA"/>
    <w:rsid w:val="003F34A3"/>
    <w:rsid w:val="00584643"/>
    <w:rsid w:val="005E273E"/>
    <w:rsid w:val="00947741"/>
    <w:rsid w:val="00D97F34"/>
    <w:rsid w:val="00DB135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3</cp:revision>
  <dcterms:created xsi:type="dcterms:W3CDTF">2023-02-04T10:45:00Z</dcterms:created>
  <dcterms:modified xsi:type="dcterms:W3CDTF">2023-02-05T05:14:00Z</dcterms:modified>
</cp:coreProperties>
</file>